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Evidence Log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**Organization:** Acme Inc  </w:t>
      </w:r>
    </w:p>
    <w:p>
      <w:pPr>
        <w:ind w:left="720"/>
      </w:pPr>
      <w:r>
        <w:rPr>
          <w:i/>
          <w:color w:val="666666"/>
        </w:rPr>
        <w:t xml:space="preserve">**Log Owner:** Jane Mueller  </w:t>
      </w:r>
    </w:p>
    <w:p>
      <w:pPr>
        <w:ind w:left="720"/>
      </w:pPr>
      <w:r>
        <w:rPr>
          <w:i/>
          <w:color w:val="666666"/>
        </w:rPr>
        <w:t xml:space="preserve">**Contact:** legal@acme.com  </w:t>
      </w:r>
    </w:p>
    <w:p>
      <w:pPr>
        <w:ind w:left="720"/>
      </w:pPr>
      <w:r>
        <w:rPr>
          <w:i/>
          <w:color w:val="666666"/>
        </w:rPr>
        <w:t xml:space="preserve">**Last Updated:** 2026-03-19  </w:t>
      </w:r>
    </w:p>
    <w:p>
      <w:pPr>
        <w:ind w:left="720"/>
      </w:pPr>
      <w:r>
        <w:rPr>
          <w:i/>
          <w:color w:val="666666"/>
        </w:rPr>
        <w:t xml:space="preserve">**Next Review:** 2026-06-19  </w:t>
      </w:r>
    </w:p>
    <w:p>
      <w:pPr>
        <w:ind w:left="720"/>
      </w:pPr>
      <w:r>
        <w:rPr>
          <w:i/>
          <w:color w:val="666666"/>
        </w:rPr>
        <w:t xml:space="preserve">**Services in Scope:** 8</w:t>
      </w:r>
    </w:p>
    <w:p>
      <w:pPr>
        <w:ind w:left="720"/>
      </w:pPr>
      <w:r>
        <w:rPr>
          <w:i/>
          <w:color w:val="666666"/>
        </w:rPr>
        <w:t xml:space="preserve">**Disclaimer:** This evidence log is auto-generated from code analysis and should be reviewed by your compliance team. It provides a starting framework for audit evidence tracking but must be customized to your specific audit scope and requirements.</w:t>
      </w:r>
    </w:p>
    <w:p>
      <w:pPr>
        <w:pStyle w:val="Heading2"/>
      </w:pPr>
      <w:r>
        <w:t>Summary</w:t>
      </w:r>
    </w:p>
    <w:p>
      <w:r>
        <w:rPr>
          <w:sz w:val="20"/>
        </w:rPr>
        <w:t xml:space="preserve">Metric  |  Value</w:t>
      </w:r>
    </w:p>
    <w:p>
      <w:r>
        <w:rPr>
          <w:sz w:val="20"/>
        </w:rPr>
        <w:t xml:space="preserve">Total Controls  |  23</w:t>
      </w:r>
    </w:p>
    <w:p>
      <w:r>
        <w:rPr>
          <w:sz w:val="20"/>
        </w:rPr>
        <w:t xml:space="preserve">Evidence Collected  |  16</w:t>
      </w:r>
    </w:p>
    <w:p>
      <w:r>
        <w:rPr>
          <w:sz w:val="20"/>
        </w:rPr>
        <w:t xml:space="preserve">Evidence Pending  |  7</w:t>
      </w:r>
    </w:p>
    <w:p>
      <w:r>
        <w:rPr>
          <w:sz w:val="20"/>
        </w:rPr>
        <w:t xml:space="preserve">Not Applicable  |  0</w:t>
      </w:r>
    </w:p>
    <w:p>
      <w:r>
        <w:rPr>
          <w:sz w:val="20"/>
        </w:rPr>
        <w:t xml:space="preserve">Completion Rate  |  70%</w:t>
      </w:r>
    </w:p>
    <w:p>
      <w:pPr>
        <w:pStyle w:val="Heading2"/>
      </w:pPr>
      <w:r>
        <w:t>SOC 2 Evidence</w:t>
      </w:r>
    </w:p>
    <w:p>
      <w:r>
        <w:rPr>
          <w:sz w:val="20"/>
        </w:rPr>
        <w:t xml:space="preserve">Control ID  |  Control  |  Evidence Type  |  Description  |  Location  |  Status  |  Reviewer</w:t>
      </w:r>
    </w:p>
    <w:p>
      <w:r>
        <w:rPr>
          <w:sz w:val="20"/>
        </w:rPr>
        <w:t xml:space="preserve">CC1.1  |  Organizational Commitment to Integrity  |  Document  |  Code of conduct, ethics policy, and employee acknowledgment records  |  legal/COMPLIANCE_OATH.md, HR records  |  Pending  |  Jane Mueller</w:t>
      </w:r>
    </w:p>
    <w:p>
      <w:r>
        <w:rPr>
          <w:sz w:val="20"/>
        </w:rPr>
        <w:t xml:space="preserve">CC1.2  |  Board Oversight  |  Document  |  Board meeting minutes documenting compliance oversight  |  legal/COMPLIANCE_BOARD_REPORT.md  |  Pending  |  Jane Mueller</w:t>
      </w:r>
    </w:p>
    <w:p>
      <w:r>
        <w:rPr>
          <w:sz w:val="20"/>
        </w:rPr>
        <w:t xml:space="preserve">CC2.1  |  Internal Communication  |  Document  |  Security awareness training records and communication plan  |  legal/SECURITY_AWARENESS_PROGRAM.md, legal/COMPLIANCE_COMMUNICATION_PLAN.md  |  Collected  |  Jane Mueller</w:t>
      </w:r>
    </w:p>
    <w:p>
      <w:r>
        <w:rPr>
          <w:sz w:val="20"/>
        </w:rPr>
        <w:t xml:space="preserve">CC3.1  |  Risk Assessment Process  |  Document  |  Risk register covering 8 detected service(s) and third-party risk assessments  |  legal/RISK_REGISTER.md, legal/THIRD_PARTY_RISK_ASSESSMENT.md  |  Collected  |  Jane Mueller</w:t>
      </w:r>
    </w:p>
    <w:p>
      <w:r>
        <w:rPr>
          <w:sz w:val="20"/>
        </w:rPr>
        <w:t xml:space="preserve">CC5.1  |  Logical Access Controls  |  Configuration  |  Access control policy and authentication service configuration (detected auth services)  |  legal/ACCESS_CONTROL_POLICY.md, auth service config  |  Collected  |  Jane Mueller</w:t>
      </w:r>
    </w:p>
    <w:p>
      <w:r>
        <w:rPr>
          <w:sz w:val="20"/>
        </w:rPr>
        <w:t xml:space="preserve">CC5.2  |  Data Protection Controls  |  Configuration  |  Encryption-at-rest and in-transit configurations for detected database services  |  legal/ENCRYPTION_POLICY.md, database config  |  Pending  |  Jane Mueller</w:t>
      </w:r>
    </w:p>
    <w:p>
      <w:r>
        <w:rPr>
          <w:sz w:val="20"/>
        </w:rPr>
        <w:t xml:space="preserve">CC6.1  |  Access Provisioning  |  Log  |  User access review logs and provisioning/de-provisioning records  |  IAM system logs, HR records  |  Pending  |  Jane Mueller</w:t>
      </w:r>
    </w:p>
    <w:p>
      <w:r>
        <w:rPr>
          <w:sz w:val="20"/>
        </w:rPr>
        <w:t xml:space="preserve">CC7.1  |  Vulnerability Management  |  Log  |  Vulnerability scan results and remediation tracking  |  legal/PENETRATION_TEST_SCOPE.md, scanner reports  |  Pending  |  Jane Mueller</w:t>
      </w:r>
    </w:p>
    <w:p>
      <w:r>
        <w:rPr>
          <w:sz w:val="20"/>
        </w:rPr>
        <w:t xml:space="preserve">CC7.2  |  System Monitoring  |  Screenshot  |  Monitoring dashboard screenshots and alerting configuration  |  Monitoring service console, alert config  |  Collected  |  Jane Mueller</w:t>
      </w:r>
    </w:p>
    <w:p>
      <w:r>
        <w:rPr>
          <w:sz w:val="20"/>
        </w:rPr>
        <w:t xml:space="preserve">CC8.1  |  Change Management Process  |  Document  |  Change management policy and recent change request records  |  legal/CHANGE_MANAGEMENT_POLICY.md, Git history  |  Collected  |  Jane Mueller</w:t>
      </w:r>
    </w:p>
    <w:p>
      <w:r>
        <w:rPr>
          <w:sz w:val="20"/>
        </w:rPr>
        <w:t xml:space="preserve">CC9.1  |  Incident Response  |  Document  |  Incident response plan and post-incident review records  |  legal/INCIDENT_RESPONSE_PLAN.md, incident logs  |  Collected  |  Jane Mueller</w:t>
      </w:r>
    </w:p>
    <w:p>
      <w:r>
        <w:rPr>
          <w:sz w:val="20"/>
        </w:rPr>
        <w:t xml:space="preserve">AI-1  |  AI Governance  |  Document  |  AI governance framework, model cards, and impact assessments  |  legal/AI_GOVERNANCE_FRAMEWORK.md, legal/AI_MODEL_CARD.md, legal/AI_IMPACT_ASSESSMENT.md  |  Collected  |  Jane Mueller</w:t>
      </w:r>
    </w:p>
    <w:p>
      <w:r>
        <w:rPr>
          <w:sz w:val="20"/>
        </w:rPr>
        <w:t xml:space="preserve">PCI-1  |  Payment Data Handling  |  Configuration  |  PCI DSS self-assessment questionnaire and payment service configuration  |  Payment provider dashboard, legal/DATA_FLOW_MAP.md  |  Pending  |  Jane Mueller</w:t>
      </w:r>
    </w:p>
    <w:p>
      <w:r>
        <w:rPr>
          <w:sz w:val="20"/>
        </w:rPr>
        <w:t xml:space="preserve">PRIV-1  |  Consent Management  |  Configuration  |  Cookie consent configuration and consent record evidence  |  legal/COOKIE_CONSENT_CONFIG.md, legal/CONSENT_MANAGEMENT_GUIDE.md  |  Collected  |  Jane Mueller</w:t>
      </w:r>
    </w:p>
    <w:p>
      <w:pPr>
        <w:pStyle w:val="Heading2"/>
      </w:pPr>
      <w:r>
        <w:t>ISO 27001 Evidence</w:t>
      </w:r>
    </w:p>
    <w:p>
      <w:r>
        <w:rPr>
          <w:sz w:val="20"/>
        </w:rPr>
        <w:t xml:space="preserve">Control ID  |  Control  |  Evidence Type  |  Description  |  Location  |  Status  |  Reviewer</w:t>
      </w:r>
    </w:p>
    <w:p>
      <w:r>
        <w:rPr>
          <w:sz w:val="20"/>
        </w:rPr>
        <w:t xml:space="preserve">CC3.1  |  Risk Assessment Process  |  Document  |  Risk register covering 8 detected service(s) and third-party risk assessments  |  legal/RISK_REGISTER.md, legal/THIRD_PARTY_RISK_ASSESSMENT.md  |  Collected  |  Jane Mueller</w:t>
      </w:r>
    </w:p>
    <w:p>
      <w:r>
        <w:rPr>
          <w:sz w:val="20"/>
        </w:rPr>
        <w:t xml:space="preserve">CC5.1  |  Logical Access Controls  |  Configuration  |  Access control policy and authentication service configuration (detected auth services)  |  legal/ACCESS_CONTROL_POLICY.md, auth service config  |  Collected  |  Jane Mueller</w:t>
      </w:r>
    </w:p>
    <w:p>
      <w:r>
        <w:rPr>
          <w:sz w:val="20"/>
        </w:rPr>
        <w:t xml:space="preserve">CC5.2  |  Data Protection Controls  |  Configuration  |  Encryption-at-rest and in-transit configurations for detected database services  |  legal/ENCRYPTION_POLICY.md, database config  |  Pending  |  Jane Mueller</w:t>
      </w:r>
    </w:p>
    <w:p>
      <w:r>
        <w:rPr>
          <w:sz w:val="20"/>
        </w:rPr>
        <w:t xml:space="preserve">CC7.1  |  Vulnerability Management  |  Log  |  Vulnerability scan results and remediation tracking  |  legal/PENETRATION_TEST_SCOPE.md, scanner reports  |  Pending  |  Jane Mueller</w:t>
      </w:r>
    </w:p>
    <w:p>
      <w:r>
        <w:rPr>
          <w:sz w:val="20"/>
        </w:rPr>
        <w:t xml:space="preserve">CC7.2  |  System Monitoring  |  Screenshot  |  Monitoring dashboard screenshots and alerting configuration  |  Monitoring service console, alert config  |  Collected  |  Jane Mueller</w:t>
      </w:r>
    </w:p>
    <w:p>
      <w:r>
        <w:rPr>
          <w:sz w:val="20"/>
        </w:rPr>
        <w:t xml:space="preserve">CC8.1  |  Change Management Process  |  Document  |  Change management policy and recent change request records  |  legal/CHANGE_MANAGEMENT_POLICY.md, Git history  |  Collected  |  Jane Mueller</w:t>
      </w:r>
    </w:p>
    <w:p>
      <w:r>
        <w:rPr>
          <w:sz w:val="20"/>
        </w:rPr>
        <w:t xml:space="preserve">CC9.1  |  Incident Response  |  Document  |  Incident response plan and post-incident review records  |  legal/INCIDENT_RESPONSE_PLAN.md, incident logs  |  Collected  |  Jane Mueller</w:t>
      </w:r>
    </w:p>
    <w:p>
      <w:r>
        <w:rPr>
          <w:sz w:val="20"/>
        </w:rPr>
        <w:t xml:space="preserve">A.5.1  |  Information Security Policy  |  Document  |  Information security policy document and management approval  |  legal/INFORMATION_SECURITY_POLICY.md  |  Collected  |  Jane Mueller</w:t>
      </w:r>
    </w:p>
    <w:p>
      <w:r>
        <w:rPr>
          <w:sz w:val="20"/>
        </w:rPr>
        <w:t xml:space="preserve">A.6.1  |  Security Roles and Responsibilities  |  Document  |  Defined security roles, RACI matrix, and contact information  |  legal/SECURITY.md, legal/KEY_PERSON_RISK_ASSESSMENT.md  |  Collected  |  Jane Mueller</w:t>
      </w:r>
    </w:p>
    <w:p>
      <w:r>
        <w:rPr>
          <w:sz w:val="20"/>
        </w:rPr>
        <w:t xml:space="preserve">A.8.1  |  Asset Inventory  |  Document  |  Inventory of 8 detected service(s) including data classification  |  legal/DATA_DICTIONARY.md, legal/DATA_FLOW_MAP.md  |  Collected  |  Jane Mueller</w:t>
      </w:r>
    </w:p>
    <w:p>
      <w:r>
        <w:rPr>
          <w:sz w:val="20"/>
        </w:rPr>
        <w:t xml:space="preserve">A.10.1  |  Cryptographic Controls  |  Configuration  |  Encryption policy and key management procedures  |  legal/ENCRYPTION_POLICY.md  |  Pending  |  Jane Mueller</w:t>
      </w:r>
    </w:p>
    <w:p>
      <w:r>
        <w:rPr>
          <w:sz w:val="20"/>
        </w:rPr>
        <w:t xml:space="preserve">A.12.4  |  Logging and Monitoring  |  Log  |  Audit log policy and sample logs demonstrating retention  |  legal/AUDIT_LOG_POLICY.md, system logs  |  Collected  |  Jane Mueller</w:t>
      </w:r>
    </w:p>
    <w:p>
      <w:r>
        <w:rPr>
          <w:sz w:val="20"/>
        </w:rPr>
        <w:t xml:space="preserve">A.14.1  |  Secure Development  |  Document  |  Secure development lifecycle documentation and code review evidence  |  legal/PRIVACY_BY_DESIGN_CHECKLIST.md, Git PR history  |  Collected  |  Jane Mueller</w:t>
      </w:r>
    </w:p>
    <w:p>
      <w:r>
        <w:rPr>
          <w:sz w:val="20"/>
        </w:rPr>
        <w:t xml:space="preserve">A.15.1  |  Supplier Security  |  Document  |  Supplier risk assessments, DPAs, and vendor onboarding records  |  legal/VENDOR_ONBOARDING_CHECKLIST.md, legal/THIRD_PARTY_RISK_ASSESSMENT.md  |  Collected  |  Jane Mueller</w:t>
      </w:r>
    </w:p>
    <w:p>
      <w:r>
        <w:rPr>
          <w:sz w:val="20"/>
        </w:rPr>
        <w:t xml:space="preserve">A.16.1  |  Incident Management Process  |  Document  |  Incident severity matrix, communication templates, and drill records  |  legal/INCIDENT_SEVERITY_MATRIX.md, legal/DATA_BREACH_RESPONSE_DRILL.md  |  Collected  |  Jane Mueller</w:t>
      </w:r>
    </w:p>
    <w:p>
      <w:r>
        <w:rPr>
          <w:sz w:val="20"/>
        </w:rPr>
        <w:t xml:space="preserve">A.18.1  |  Legal and Regulatory Compliance  |  Document  |  Regulatory mapping and compliance gap analysis  |  legal/REGULATORY_MAPPING_MATRIX.md, legal/COMPLIANCE_GAP_ANALYSIS.md  |  Collected  |  Jane Mueller</w:t>
      </w:r>
    </w:p>
    <w:p>
      <w:r>
        <w:rPr>
          <w:sz w:val="20"/>
        </w:rPr>
        <w:t xml:space="preserve">AI-1  |  AI Governance  |  Document  |  AI governance framework, model cards, and impact assessments  |  legal/AI_GOVERNANCE_FRAMEWORK.md, legal/AI_MODEL_CARD.md, legal/AI_IMPACT_ASSESSMENT.md  |  Collected  |  Jane Mueller</w:t>
      </w:r>
    </w:p>
    <w:p>
      <w:r>
        <w:rPr>
          <w:sz w:val="20"/>
        </w:rPr>
        <w:t xml:space="preserve">PCI-1  |  Payment Data Handling  |  Configuration  |  PCI DSS self-assessment questionnaire and payment service configuration  |  Payment provider dashboard, legal/DATA_FLOW_MAP.md  |  Pending  |  Jane Mueller</w:t>
      </w:r>
    </w:p>
    <w:p>
      <w:r>
        <w:rPr>
          <w:sz w:val="20"/>
        </w:rPr>
        <w:t xml:space="preserve">PRIV-1  |  Consent Management  |  Configuration  |  Cookie consent configuration and consent record evidence  |  legal/COOKIE_CONSENT_CONFIG.md, legal/CONSENT_MANAGEMENT_GUIDE.md  |  Collected  |  Jane Mueller</w:t>
      </w:r>
    </w:p>
    <w:p>
      <w:pPr>
        <w:pStyle w:val="Heading2"/>
      </w:pPr>
      <w:r>
        <w:t>Evidence Collection Schedule</w:t>
      </w:r>
    </w:p>
    <w:p>
      <w:r>
        <w:rPr>
          <w:sz w:val="20"/>
        </w:rPr>
        <w:t xml:space="preserve">Frequency  |  Activity  |  Responsible  |  Due</w:t>
      </w:r>
    </w:p>
    <w:p>
      <w:r>
        <w:rPr>
          <w:sz w:val="20"/>
        </w:rPr>
        <w:t xml:space="preserve">Weekly  |  Review access logs and monitoring alerts  |  Jane Mueller  |  Every Monday</w:t>
      </w:r>
    </w:p>
    <w:p>
      <w:r>
        <w:rPr>
          <w:sz w:val="20"/>
        </w:rPr>
        <w:t xml:space="preserve">Monthly  |  Update vulnerability scan results  |  Jane Mueller  |  1st of month</w:t>
      </w:r>
    </w:p>
    <w:p>
      <w:r>
        <w:rPr>
          <w:sz w:val="20"/>
        </w:rPr>
        <w:t xml:space="preserve">Monthly  |  Review change management records  |  Jane Mueller  |  1st of month</w:t>
      </w:r>
    </w:p>
    <w:p>
      <w:r>
        <w:rPr>
          <w:sz w:val="20"/>
        </w:rPr>
        <w:t xml:space="preserve">Quarterly  |  Full evidence collection review  |  Jane Mueller  |  2026-06-19</w:t>
      </w:r>
    </w:p>
    <w:p>
      <w:r>
        <w:rPr>
          <w:sz w:val="20"/>
        </w:rPr>
        <w:t xml:space="preserve">Quarterly  |  Vendor/supplier compliance check  |  Jane Mueller  |  2026-06-19</w:t>
      </w:r>
    </w:p>
    <w:p>
      <w:r>
        <w:rPr>
          <w:sz w:val="20"/>
        </w:rPr>
        <w:t xml:space="preserve">Annually  |  Complete re-assessment of all controls  |  Jane Mueller  |  2026-03-19 + 1yr</w:t>
      </w:r>
    </w:p>
    <w:p>
      <w:r>
        <w:rPr>
          <w:sz w:val="20"/>
        </w:rPr>
        <w:t xml:space="preserve">Quarterly  |  AI model governance review  |  Jane Mueller  |  2026-06-19</w:t>
      </w:r>
    </w:p>
    <w:p>
      <w:r>
        <w:rPr>
          <w:sz w:val="20"/>
        </w:rPr>
        <w:t xml:space="preserve">Annually  |  PCI DSS self-assessment update  |  Jane Mueller  |  2026-03-19 + 1yr</w:t>
      </w:r>
    </w:p>
    <w:p>
      <w:pPr>
        <w:pStyle w:val="Heading2"/>
      </w:pPr>
      <w:r>
        <w:t>Evidence Quality Checklist</w:t>
      </w:r>
    </w:p>
    <w:p>
      <w:r>
        <w:t xml:space="preserve">For each evidence item, verify:</w:t>
      </w:r>
    </w:p>
    <w:p>
      <w:pPr>
        <w:pStyle w:val="ListParagraph"/>
        <w:numPr>
          <w:ilvl w:val="0"/>
          <w:numId w:val="1"/>
        </w:numPr>
      </w:pPr>
      <w:r>
        <w:t xml:space="preserve">[ ] Evidence is dated and timestamped</w:t>
      </w:r>
    </w:p>
    <w:p>
      <w:pPr>
        <w:pStyle w:val="ListParagraph"/>
        <w:numPr>
          <w:ilvl w:val="0"/>
          <w:numId w:val="1"/>
        </w:numPr>
      </w:pPr>
      <w:r>
        <w:t xml:space="preserve">[ ] Evidence covers the full audit period</w:t>
      </w:r>
    </w:p>
    <w:p>
      <w:pPr>
        <w:pStyle w:val="ListParagraph"/>
        <w:numPr>
          <w:ilvl w:val="0"/>
          <w:numId w:val="1"/>
        </w:numPr>
      </w:pPr>
      <w:r>
        <w:t xml:space="preserve">[ ] Evidence is from the production environment</w:t>
      </w:r>
    </w:p>
    <w:p>
      <w:pPr>
        <w:pStyle w:val="ListParagraph"/>
        <w:numPr>
          <w:ilvl w:val="0"/>
          <w:numId w:val="1"/>
        </w:numPr>
      </w:pPr>
      <w:r>
        <w:t xml:space="preserve">[ ] Evidence is stored in a tamper-evident location</w:t>
      </w:r>
    </w:p>
    <w:p>
      <w:pPr>
        <w:pStyle w:val="ListParagraph"/>
        <w:numPr>
          <w:ilvl w:val="0"/>
          <w:numId w:val="1"/>
        </w:numPr>
      </w:pPr>
      <w:r>
        <w:t xml:space="preserve">[ ] Evidence has been reviewed by the assigned reviewer</w:t>
      </w:r>
    </w:p>
    <w:p>
      <w:pPr>
        <w:pStyle w:val="ListParagraph"/>
        <w:numPr>
          <w:ilvl w:val="0"/>
          <w:numId w:val="1"/>
        </w:numPr>
      </w:pPr>
      <w:r>
        <w:t xml:space="preserve">[ ] Evidence clearly maps to the stated control objective</w:t>
      </w:r>
    </w:p>
    <w:p>
      <w:pPr>
        <w:pStyle w:val="ListParagraph"/>
        <w:numPr>
          <w:ilvl w:val="0"/>
          <w:numId w:val="1"/>
        </w:numPr>
      </w:pPr>
      <w:r>
        <w:t xml:space="preserve">[ ] Supporting screenshots include system date/time</w:t>
      </w:r>
    </w:p>
    <w:p>
      <w:pPr>
        <w:pStyle w:val="ListParagraph"/>
        <w:numPr>
          <w:ilvl w:val="0"/>
          <w:numId w:val="1"/>
        </w:numPr>
      </w:pPr>
      <w:r>
        <w:t xml:space="preserve">[ ] Configuration evidence shows both policy and enforcement</w:t>
      </w:r>
    </w:p>
    <w:p>
      <w:pPr>
        <w:pStyle w:val="Heading2"/>
      </w:pPr>
      <w:r>
        <w:t>Services in Scope</w:t>
      </w:r>
    </w:p>
    <w:p>
      <w:r>
        <w:t xml:space="preserve">The following services were detected during code scanning and are in scope for audit evidence:</w:t>
      </w:r>
    </w:p>
    <w:p>
      <w:r>
        <w:rPr>
          <w:sz w:val="20"/>
        </w:rPr>
        <w:t xml:space="preserve">Service  |  Category  |  Data Collected</w:t>
      </w:r>
    </w:p>
    <w:p>
      <w:r>
        <w:rPr>
          <w:sz w:val="20"/>
        </w:rPr>
        <w:t xml:space="preserve">@sentry/node  |  monitoring  |  error data, stack traces, user context, device information, IP address</w:t>
      </w:r>
    </w:p>
    <w:p>
      <w:r>
        <w:rPr>
          <w:sz w:val="20"/>
        </w:rPr>
        <w:t xml:space="preserve">@supabase/supabase-js  |  auth  |  email, password hash, session data, user metadata</w:t>
      </w:r>
    </w:p>
    <w:p>
      <w:r>
        <w:rPr>
          <w:sz w:val="20"/>
        </w:rPr>
        <w:t xml:space="preserve">openai  |  ai  |  user prompts, conversation history, generated content</w:t>
      </w:r>
    </w:p>
    <w:p>
      <w:r>
        <w:rPr>
          <w:sz w:val="20"/>
        </w:rPr>
        <w:t xml:space="preserve">posthog  |  analytics  |  user behavior, session recordings, feature flag usage, device information</w:t>
      </w:r>
    </w:p>
    <w:p>
      <w:r>
        <w:rPr>
          <w:sz w:val="20"/>
        </w:rPr>
        <w:t xml:space="preserve">prisma  |  database  |  user data as defined in schema</w:t>
      </w:r>
    </w:p>
    <w:p>
      <w:r>
        <w:rPr>
          <w:sz w:val="20"/>
        </w:rPr>
        <w:t xml:space="preserve">resend  |  email  |  email addresses, email content</w:t>
      </w:r>
    </w:p>
    <w:p>
      <w:r>
        <w:rPr>
          <w:sz w:val="20"/>
        </w:rPr>
        <w:t xml:space="preserve">stripe  |  payment  |  payment information, billing address, email, transaction history</w:t>
      </w:r>
    </w:p>
    <w:p>
      <w:r>
        <w:rPr>
          <w:sz w:val="20"/>
        </w:rPr>
        <w:t xml:space="preserve">stripe-ios  |  payment  |  payment information, billing address, email, transaction history</w:t>
      </w:r>
    </w:p>
    <w:p>
      <w:pPr>
        <w:pBdr>
          <w:bottom w:val="single" w:sz="6" w:space="1" w:color="999999"/>
        </w:pBdr>
      </w:pPr>
    </w:p>
    <w:p>
      <w:r>
        <w:t xml:space="preserve">Generated by Codepliant on 2026-03-19. This evidence log should be reviewed and updated regularly by your compliance team. Consult with your auditor to confirm evidence requirements specific to your audit scope.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